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Собрания предста</w:t>
      </w:r>
      <w:r w:rsidR="00826E4B">
        <w:rPr>
          <w:rFonts w:ascii="Times New Roman" w:hAnsi="Times New Roman" w:cs="Times New Roman"/>
          <w:b/>
          <w:sz w:val="28"/>
          <w:szCs w:val="28"/>
        </w:rPr>
        <w:t>вителей сельского поселения Светлодольск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2C6463">
        <w:rPr>
          <w:rFonts w:ascii="Times New Roman" w:hAnsi="Times New Roman" w:cs="Times New Roman"/>
          <w:b/>
          <w:sz w:val="28"/>
          <w:szCs w:val="28"/>
        </w:rPr>
        <w:t xml:space="preserve"> №26 от 18.07.2022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826E4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26E4B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2C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 w:rsidR="002C6463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6463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C6463">
        <w:rPr>
          <w:rFonts w:ascii="Times New Roman" w:hAnsi="Times New Roman" w:cs="Times New Roman"/>
          <w:sz w:val="28"/>
          <w:szCs w:val="28"/>
        </w:rPr>
        <w:t xml:space="preserve">сельского поселения Светлодольск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2C6463" w:rsidRDefault="002C6463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463" w:rsidRPr="006F3348" w:rsidRDefault="002C6463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94E" w:rsidRPr="00826E4B" w:rsidRDefault="0039094E" w:rsidP="0039094E">
      <w:pPr>
        <w:rPr>
          <w:rFonts w:ascii="Times New Roman" w:hAnsi="Times New Roman" w:cs="Times New Roman"/>
          <w:sz w:val="28"/>
          <w:szCs w:val="28"/>
        </w:rPr>
      </w:pPr>
      <w:r w:rsidRPr="00826E4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Pr="00826E4B">
        <w:rPr>
          <w:rFonts w:ascii="Times New Roman" w:hAnsi="Times New Roman" w:cs="Times New Roman"/>
          <w:bCs/>
          <w:sz w:val="28"/>
          <w:szCs w:val="28"/>
        </w:rPr>
        <w:t xml:space="preserve">Светлодольск </w:t>
      </w:r>
      <w:r w:rsidRPr="00826E4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2C6463">
        <w:rPr>
          <w:rFonts w:ascii="Times New Roman" w:hAnsi="Times New Roman" w:cs="Times New Roman"/>
          <w:sz w:val="28"/>
          <w:szCs w:val="28"/>
        </w:rPr>
        <w:t>сельского поселения Светлодольск</w:t>
      </w:r>
      <w:r w:rsidR="002C6463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06387">
        <w:rPr>
          <w:rFonts w:ascii="Times New Roman" w:hAnsi="Times New Roman" w:cs="Times New Roman"/>
          <w:sz w:val="28"/>
          <w:szCs w:val="28"/>
        </w:rPr>
        <w:t xml:space="preserve"> №26 от 18.07.2023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2C6463">
        <w:rPr>
          <w:rFonts w:ascii="Times New Roman" w:hAnsi="Times New Roman" w:cs="Times New Roman"/>
          <w:sz w:val="28"/>
          <w:szCs w:val="28"/>
        </w:rPr>
        <w:t>сельского поселения Светлодольск</w:t>
      </w:r>
      <w:r w:rsidR="002C6463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="0087342F"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lastRenderedPageBreak/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C6463" w:rsidRDefault="002C6463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Светлодольск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505C3">
        <w:rPr>
          <w:rFonts w:ascii="Times New Roman" w:hAnsi="Times New Roman" w:cs="Times New Roman"/>
          <w:sz w:val="28"/>
          <w:szCs w:val="28"/>
        </w:rPr>
        <w:t>Н.А.Анцинова</w:t>
      </w:r>
      <w:proofErr w:type="spellEnd"/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7505C3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2C6463">
        <w:rPr>
          <w:rFonts w:ascii="Times New Roman" w:hAnsi="Times New Roman" w:cs="Times New Roman"/>
          <w:sz w:val="28"/>
          <w:szCs w:val="28"/>
        </w:rPr>
        <w:t>сельского поселения Светлодольск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 w:rsidR="007505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505C3">
        <w:rPr>
          <w:rFonts w:ascii="Times New Roman" w:hAnsi="Times New Roman" w:cs="Times New Roman"/>
          <w:sz w:val="28"/>
          <w:szCs w:val="28"/>
        </w:rPr>
        <w:t>А.В.Федченкова</w:t>
      </w:r>
      <w:proofErr w:type="spellEnd"/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6463"/>
    <w:rsid w:val="002C7C94"/>
    <w:rsid w:val="003164DF"/>
    <w:rsid w:val="00316AB2"/>
    <w:rsid w:val="00316B5E"/>
    <w:rsid w:val="00320882"/>
    <w:rsid w:val="00322B3C"/>
    <w:rsid w:val="0032540A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094E"/>
    <w:rsid w:val="00395471"/>
    <w:rsid w:val="003A18B5"/>
    <w:rsid w:val="003D1EB2"/>
    <w:rsid w:val="003E1633"/>
    <w:rsid w:val="003E4B37"/>
    <w:rsid w:val="003E626A"/>
    <w:rsid w:val="003F0E46"/>
    <w:rsid w:val="003F10E7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4E30E8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505C3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26E4B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06387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2">
    <w:name w:val="Body Text Indent 2"/>
    <w:basedOn w:val="a"/>
    <w:link w:val="20"/>
    <w:uiPriority w:val="99"/>
    <w:semiHidden/>
    <w:unhideWhenUsed/>
    <w:rsid w:val="00826E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6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88FA-E47C-424D-94AD-FD891A88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4</cp:revision>
  <cp:lastPrinted>2023-08-14T11:08:00Z</cp:lastPrinted>
  <dcterms:created xsi:type="dcterms:W3CDTF">2023-09-25T04:44:00Z</dcterms:created>
  <dcterms:modified xsi:type="dcterms:W3CDTF">2023-09-25T09:53:00Z</dcterms:modified>
</cp:coreProperties>
</file>